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ROAD SUBBASE AND ROADBASE</w:t>
      </w:r>
    </w:p>
    <w:p>
      <w:pPr>
        <w:spacing w:after="480"/>
      </w:pPr>
      <w:r>
        <w:rPr>
          <w:rFonts w:ascii="Aptos" w:hAnsi="Aptos"/>
          <w:b w:val="0"/>
          <w:color w:val="5E6B78"/>
          <w:sz w:val="26"/>
        </w:rPr>
        <w:t>Lapisan Subbase dan Roadbase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road subbase and roadbase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road subbase and roadbase.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granular subbase</w:t>
      </w:r>
    </w:p>
    <w:p>
      <w:pPr>
        <w:pStyle w:val="ListBullet"/>
        <w:spacing w:after="50"/>
        <w:ind w:left="369" w:hanging="170"/>
      </w:pPr>
      <w:r>
        <w:rPr>
          <w:rFonts w:ascii="Aptos" w:hAnsi="Aptos"/>
          <w:b w:val="0"/>
          <w:color w:val="263442"/>
          <w:sz w:val="19"/>
        </w:rPr>
        <w:t>Approved roadbase</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Grader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Water bowser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road subbase and roadbase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granular subbase, Approved roadbase, Water.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Release the prepared subgrade. </w:t>
      </w:r>
      <w:r>
        <w:rPr>
          <w:rFonts w:ascii="Aptos" w:hAnsi="Aptos"/>
          <w:b w:val="0"/>
          <w:color w:val="263442"/>
          <w:sz w:val="19"/>
        </w:rPr>
        <w:t>Release the prepared subgrade and verify drainage.</w:t>
      </w:r>
    </w:p>
    <w:p>
      <w:pPr>
        <w:keepLines/>
        <w:spacing w:after="100" w:line="269" w:lineRule="auto"/>
        <w:ind w:left="369" w:hanging="369"/>
      </w:pPr>
      <w:r>
        <w:rPr>
          <w:rFonts w:ascii="Aptos" w:hAnsi="Aptos"/>
          <w:b/>
          <w:color w:val="071E33"/>
          <w:sz w:val="19"/>
        </w:rPr>
        <w:t xml:space="preserve">2. Deliver approved material without segregation. </w:t>
      </w:r>
    </w:p>
    <w:p>
      <w:pPr>
        <w:keepLines/>
        <w:spacing w:after="100" w:line="269" w:lineRule="auto"/>
        <w:ind w:left="369" w:hanging="369"/>
      </w:pPr>
      <w:r>
        <w:rPr>
          <w:rFonts w:ascii="Aptos" w:hAnsi="Aptos"/>
          <w:b/>
          <w:color w:val="071E33"/>
          <w:sz w:val="19"/>
        </w:rPr>
        <w:t xml:space="preserve">3. Spread in controlled layers to line. </w:t>
      </w:r>
      <w:r>
        <w:rPr>
          <w:rFonts w:ascii="Aptos" w:hAnsi="Aptos"/>
          <w:b w:val="0"/>
          <w:color w:val="263442"/>
          <w:sz w:val="19"/>
        </w:rPr>
        <w:t>Spread in controlled layers to line, level and crossfall.</w:t>
      </w:r>
    </w:p>
    <w:p>
      <w:pPr>
        <w:keepLines/>
        <w:spacing w:after="100" w:line="269" w:lineRule="auto"/>
        <w:ind w:left="369" w:hanging="369"/>
      </w:pPr>
      <w:r>
        <w:rPr>
          <w:rFonts w:ascii="Aptos" w:hAnsi="Aptos"/>
          <w:b/>
          <w:color w:val="071E33"/>
          <w:sz w:val="19"/>
        </w:rPr>
        <w:t xml:space="preserve">4. Condition moisture and compact using the trial-approved pattern. </w:t>
      </w:r>
    </w:p>
    <w:p>
      <w:pPr>
        <w:keepLines/>
        <w:spacing w:after="100" w:line="269" w:lineRule="auto"/>
        <w:ind w:left="369" w:hanging="369"/>
      </w:pPr>
      <w:r>
        <w:rPr>
          <w:rFonts w:ascii="Aptos" w:hAnsi="Aptos"/>
          <w:b/>
          <w:color w:val="071E33"/>
          <w:sz w:val="19"/>
        </w:rPr>
        <w:t xml:space="preserve">5. Test density, thickness. </w:t>
      </w:r>
      <w:r>
        <w:rPr>
          <w:rFonts w:ascii="Aptos" w:hAnsi="Aptos"/>
          <w:b w:val="0"/>
          <w:color w:val="263442"/>
          <w:sz w:val="19"/>
        </w:rPr>
        <w:t>Test density, thickness and surface tolerance by lots.</w:t>
      </w:r>
    </w:p>
    <w:p>
      <w:pPr>
        <w:keepLines/>
        <w:spacing w:after="100" w:line="269" w:lineRule="auto"/>
        <w:ind w:left="369" w:hanging="369"/>
      </w:pPr>
      <w:r>
        <w:rPr>
          <w:rFonts w:ascii="Aptos" w:hAnsi="Aptos"/>
          <w:b/>
          <w:color w:val="071E33"/>
          <w:sz w:val="19"/>
        </w:rPr>
        <w:t xml:space="preserve">6. Rectify failed areas. </w:t>
      </w:r>
      <w:r>
        <w:rPr>
          <w:rFonts w:ascii="Aptos" w:hAnsi="Aptos"/>
          <w:b w:val="0"/>
          <w:color w:val="263442"/>
          <w:sz w:val="19"/>
        </w:rPr>
        <w:t>Rectify failed areas and protect the accepted layer.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grading; subgrade release; layer thickness; density; level and crossfall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moving plant; dust; public traffic; uneven surfaces.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grading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Subgrade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Layer thickness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Density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Level and crossfall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Moving plant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Uneven surfaces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Road Subbase and Roadbase</dc:title>
  <dc:subject>Editable construction method statement template</dc:subject>
  <dc:creator>Method Statement Hub Malaysia</dc:creator>
  <cp:keywords>roadbase, subbase, roadwork</cp:keywords>
  <dc:description>generated by python-docx</dc:description>
  <cp:lastModifiedBy/>
  <cp:revision>1</cp:revision>
  <dcterms:created xsi:type="dcterms:W3CDTF">2013-12-23T23:15:00Z</dcterms:created>
  <dcterms:modified xsi:type="dcterms:W3CDTF">2013-12-23T23:15:00Z</dcterms:modified>
  <cp:category/>
</cp:coreProperties>
</file>